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44"/>
          <w:szCs w:val="44"/>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PRESSEMITTEILUNG</w:t>
      </w:r>
      <w:r w:rsidDel="00000000" w:rsidR="00000000" w:rsidRPr="00000000">
        <w:rPr>
          <w:rtl w:val="0"/>
        </w:rPr>
      </w:r>
    </w:p>
    <w:p w:rsidR="00000000" w:rsidDel="00000000" w:rsidP="00000000" w:rsidRDefault="00000000" w:rsidRPr="00000000" w14:paraId="00000002">
      <w:pPr>
        <w:spacing w:after="200" w:before="0" w:line="276" w:lineRule="auto"/>
        <w:rPr>
          <w:rFonts w:ascii="Barlow" w:cs="Barlow" w:eastAsia="Barlow" w:hAnsi="Barlow"/>
          <w:b w:val="1"/>
          <w:color w:val="333333"/>
          <w:sz w:val="20"/>
          <w:szCs w:val="20"/>
        </w:rPr>
      </w:pPr>
      <w:r w:rsidDel="00000000" w:rsidR="00000000" w:rsidRPr="00000000">
        <w:rPr>
          <w:rFonts w:ascii="Barlow" w:cs="Barlow" w:eastAsia="Barlow" w:hAnsi="Barlow"/>
          <w:b w:val="1"/>
          <w:color w:val="5c068c"/>
          <w:sz w:val="42"/>
          <w:szCs w:val="42"/>
          <w:rtl w:val="0"/>
        </w:rPr>
        <w:t xml:space="preserve">Meilenstein für ein stabiles Stromnetz: </w:t>
      </w:r>
      <w:r w:rsidDel="00000000" w:rsidR="00000000" w:rsidRPr="00000000">
        <w:rPr>
          <w:rFonts w:ascii="Barlow" w:cs="Barlow" w:eastAsia="Barlow" w:hAnsi="Barlow"/>
          <w:b w:val="1"/>
          <w:color w:val="5c068c"/>
          <w:sz w:val="42"/>
          <w:szCs w:val="42"/>
          <w:rtl w:val="0"/>
        </w:rPr>
        <w:t xml:space="preserve">Heartbeat AI erhält Zulassung zur Bereitstellung von Frequenzregelleistung in Schweden</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Die Bereitstellung von Frequenzregelleistung greift bei plötzlichen Abweichungen im Stromnetz ein, um Schwankungen zu reduzieren und Stabilität zu gewährleisten.</w:t>
      </w:r>
    </w:p>
    <w:p w:rsidR="00000000" w:rsidDel="00000000" w:rsidP="00000000" w:rsidRDefault="00000000" w:rsidRPr="00000000" w14:paraId="00000004">
      <w:pPr>
        <w:numPr>
          <w:ilvl w:val="0"/>
          <w:numId w:val="1"/>
        </w:numPr>
        <w:spacing w:after="240" w:before="24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Die Integration von Batteriespeichern und anderen flexiblen Ressourcen macht das Netz reaktionsfähiger, effizienter und stabiler. Eine Zulassung war aufgrund hoher regulatorischer Hürden bislang allerdings schwierig.</w:t>
      </w:r>
    </w:p>
    <w:p w:rsidR="00000000" w:rsidDel="00000000" w:rsidP="00000000" w:rsidRDefault="00000000" w:rsidRPr="00000000" w14:paraId="00000005">
      <w:pPr>
        <w:numPr>
          <w:ilvl w:val="0"/>
          <w:numId w:val="1"/>
        </w:numPr>
        <w:spacing w:after="240" w:before="24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Mit der erfolgreichen Präqualifikation in Schweden erweitert 1KOMMA5° jetzt sein Portfolio an Netzdienstleistungen über Heartbeat AI weiter, erst kürzlich gab das Unternehmen den Start der Intraday-Optimierung bekannt, und ermöglicht Kundinnen und Kunden zusätzliche Einnahmequellen</w:t>
      </w:r>
      <w:r w:rsidDel="00000000" w:rsidR="00000000" w:rsidRPr="00000000">
        <w:rPr>
          <w:rFonts w:ascii="Barlow" w:cs="Barlow" w:eastAsia="Barlow" w:hAnsi="Barlow"/>
          <w:b w:val="1"/>
          <w:color w:val="333333"/>
          <w:rtl w:val="0"/>
        </w:rPr>
        <w:t xml:space="preserv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333333"/>
          <w:rtl w:val="0"/>
        </w:rPr>
        <w:t xml:space="preserve">Hamburg</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b w:val="1"/>
          <w:color w:val="333333"/>
          <w:rtl w:val="0"/>
        </w:rPr>
        <w:t xml:space="preserve"> 4. Dezember 2024</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1KOMMA5°, das New Energy Unternehmen aus Hamburg, erhält die Zulassung zur Bereitstellung von Frequenzregelleistung (FCR-D) in Schweden. Damit erreicht das Unternehmen einen wichtigen Meilenstein zur </w:t>
      </w:r>
      <w:r w:rsidDel="00000000" w:rsidR="00000000" w:rsidRPr="00000000">
        <w:rPr>
          <w:rFonts w:ascii="Barlow" w:cs="Barlow" w:eastAsia="Barlow" w:hAnsi="Barlow"/>
          <w:color w:val="333333"/>
          <w:rtl w:val="0"/>
        </w:rPr>
        <w:t xml:space="preserve">Netzstabilisierung und bereitet sich auf die Zulassung auch in weiteren europäischen Märkten vor.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„Niemand kann kontrollieren, wann der Wind weht oder die Sonne scheint, oder wann Energie gebraucht wird. Die Bereitstellung von Frequenzregelleistung ist ein zentraler Mechanismus, um die Netzstabilität in einem solchen zunehmend dezentralen Energiesystem zu sichern”, so Philipp Schröder, CEO und Mitgründer von 1KOMMA5°. „Mit der Zulassung optimieren wir nicht mehr nur den Eigenverbrauch von Solarstrom, handeln Strom am Day-Ahead und neuerdings auch Intraday-Markt, sondern stoßen jetzt mit Heartbeat AI auch noch in die vierte Dimension, die der Netzdienstleistungen, vor.” </w:t>
      </w:r>
    </w:p>
    <w:p w:rsidR="00000000" w:rsidDel="00000000" w:rsidP="00000000" w:rsidRDefault="00000000" w:rsidRPr="00000000" w14:paraId="00000008">
      <w:pPr>
        <w:spacing w:after="200" w:line="300" w:lineRule="auto"/>
        <w:ind w:right="-40.8661417322827"/>
        <w:rPr>
          <w:rFonts w:ascii="Barlow" w:cs="Barlow" w:eastAsia="Barlow" w:hAnsi="Barlow"/>
          <w:b w:val="1"/>
          <w:color w:val="333333"/>
          <w:highlight w:val="white"/>
        </w:rPr>
      </w:pPr>
      <w:r w:rsidDel="00000000" w:rsidR="00000000" w:rsidRPr="00000000">
        <w:rPr>
          <w:rFonts w:ascii="Barlow" w:cs="Barlow" w:eastAsia="Barlow" w:hAnsi="Barlow"/>
          <w:b w:val="1"/>
          <w:color w:val="333333"/>
          <w:highlight w:val="white"/>
          <w:rtl w:val="0"/>
        </w:rPr>
        <w:t xml:space="preserve">Dezentrale Energiesysteme lösen große Kraftwerke ab</w:t>
      </w:r>
    </w:p>
    <w:p w:rsidR="00000000" w:rsidDel="00000000" w:rsidP="00000000" w:rsidRDefault="00000000" w:rsidRPr="00000000" w14:paraId="0000000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Das europäische Stromnetz arbeitet bei einer Soll-Frequenz von 50 Hz. Jede Abweichung davon – nach oben oder unten – signalisiert ein Ungleichgewicht zwischen Stromerzeugung und Verbrauch. Die Bereitstellung von Frequenzregelleistung greift besonders bei plötzlichen Abweichungen im Stromnetz ein, um Schwankungen zu minimieren, Störungen zu vermeiden und die Netzstabilität zu gewährleisten. In der Regel setzen Übertragungsnetzbetreiber dabei auf Reservekapazitäten, die dynamisch Energie in das Netz einspeisen oder entnehmen können, historisch betrachtet primär</w:t>
      </w:r>
      <w:r w:rsidDel="00000000" w:rsidR="00000000" w:rsidRPr="00000000">
        <w:rPr>
          <w:rFonts w:ascii="Barlow" w:cs="Barlow" w:eastAsia="Barlow" w:hAnsi="Barlow"/>
          <w:color w:val="333333"/>
          <w:rtl w:val="0"/>
        </w:rPr>
        <w:t xml:space="preserve"> von großen Kraftwerken</w:t>
      </w:r>
      <w:r w:rsidDel="00000000" w:rsidR="00000000" w:rsidRPr="00000000">
        <w:rPr>
          <w:rFonts w:ascii="Barlow" w:cs="Barlow" w:eastAsia="Barlow" w:hAnsi="Barlow"/>
          <w:color w:val="333333"/>
          <w:rtl w:val="0"/>
        </w:rPr>
        <w:t xml:space="preserve">. Die regulatorischen Hürden für kleinere, dezentrale Anlagen in Pools sind hoch, was oft zu Schwierigkeiten in der Zulassung führt, und </w:t>
      </w:r>
      <w:r w:rsidDel="00000000" w:rsidR="00000000" w:rsidRPr="00000000">
        <w:rPr>
          <w:rFonts w:ascii="Barlow" w:cs="Barlow" w:eastAsia="Barlow" w:hAnsi="Barlow"/>
          <w:color w:val="333333"/>
          <w:rtl w:val="0"/>
        </w:rPr>
        <w:t xml:space="preserve">ihre Zusammensetzung</w:t>
      </w:r>
      <w:r w:rsidDel="00000000" w:rsidR="00000000" w:rsidRPr="00000000">
        <w:rPr>
          <w:rFonts w:ascii="Barlow" w:cs="Barlow" w:eastAsia="Barlow" w:hAnsi="Barlow"/>
          <w:color w:val="333333"/>
          <w:rtl w:val="0"/>
        </w:rPr>
        <w:t xml:space="preserve"> von Land zu Land unterschiedlich. Überall müssen sie jedoch kürzeste Reaktionszeiten gewährleisten und strenge Vorgaben einhalten. </w:t>
      </w:r>
      <w:r w:rsidDel="00000000" w:rsidR="00000000" w:rsidRPr="00000000">
        <w:rPr>
          <w:rtl w:val="0"/>
        </w:rPr>
      </w:r>
    </w:p>
    <w:p w:rsidR="00000000" w:rsidDel="00000000" w:rsidP="00000000" w:rsidRDefault="00000000" w:rsidRPr="00000000" w14:paraId="0000000A">
      <w:pPr>
        <w:spacing w:after="200" w:line="300" w:lineRule="auto"/>
        <w:ind w:right="-40.8661417322827"/>
        <w:rPr>
          <w:rFonts w:ascii="Barlow" w:cs="Barlow" w:eastAsia="Barlow" w:hAnsi="Barlow"/>
          <w:i w:val="1"/>
          <w:color w:val="333333"/>
          <w:sz w:val="16"/>
          <w:szCs w:val="16"/>
        </w:rPr>
      </w:pPr>
      <w:r w:rsidDel="00000000" w:rsidR="00000000" w:rsidRPr="00000000">
        <w:rPr>
          <w:rFonts w:ascii="Barlow" w:cs="Barlow" w:eastAsia="Barlow" w:hAnsi="Barlow"/>
          <w:color w:val="333333"/>
        </w:rPr>
        <w:drawing>
          <wp:inline distB="114300" distT="114300" distL="114300" distR="114300">
            <wp:extent cx="5731200" cy="3441700"/>
            <wp:effectExtent b="12700" l="12700" r="12700" t="1270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731200" cy="3441700"/>
                    </a:xfrm>
                    <a:prstGeom prst="rect"/>
                    <a:ln w="12700">
                      <a:solidFill>
                        <a:srgbClr val="F3F3F3"/>
                      </a:solidFill>
                      <a:prstDash val="solid"/>
                    </a:ln>
                  </pic:spPr>
                </pic:pic>
              </a:graphicData>
            </a:graphic>
          </wp:inline>
        </w:drawing>
      </w:r>
      <w:r w:rsidDel="00000000" w:rsidR="00000000" w:rsidRPr="00000000">
        <w:rPr>
          <w:rFonts w:ascii="Barlow" w:cs="Barlow" w:eastAsia="Barlow" w:hAnsi="Barlow"/>
          <w:i w:val="1"/>
          <w:color w:val="333333"/>
          <w:sz w:val="16"/>
          <w:szCs w:val="16"/>
          <w:rtl w:val="0"/>
        </w:rPr>
        <w:t xml:space="preserve">Exemplarische Darstellung </w:t>
      </w:r>
      <w:r w:rsidDel="00000000" w:rsidR="00000000" w:rsidRPr="00000000">
        <w:rPr>
          <w:rFonts w:ascii="Barlow" w:cs="Barlow" w:eastAsia="Barlow" w:hAnsi="Barlow"/>
          <w:b w:val="1"/>
          <w:i w:val="1"/>
          <w:color w:val="333333"/>
          <w:sz w:val="16"/>
          <w:szCs w:val="16"/>
          <w:rtl w:val="0"/>
        </w:rPr>
        <w:t xml:space="preserve">Abb. 1:</w:t>
      </w:r>
      <w:r w:rsidDel="00000000" w:rsidR="00000000" w:rsidRPr="00000000">
        <w:rPr>
          <w:rFonts w:ascii="Barlow" w:cs="Barlow" w:eastAsia="Barlow" w:hAnsi="Barlow"/>
          <w:i w:val="1"/>
          <w:color w:val="333333"/>
          <w:sz w:val="16"/>
          <w:szCs w:val="16"/>
          <w:rtl w:val="0"/>
        </w:rPr>
        <w:t xml:space="preserve"> FCR-D im schwedischen Markt; Auf- und Abwärtsaktivierung bei einer Soll-Frequenz von 50 Hz</w:t>
      </w:r>
      <w:r w:rsidDel="00000000" w:rsidR="00000000" w:rsidRPr="00000000">
        <w:rPr>
          <w:rtl w:val="0"/>
        </w:rPr>
      </w:r>
    </w:p>
    <w:p w:rsidR="00000000" w:rsidDel="00000000" w:rsidP="00000000" w:rsidRDefault="00000000" w:rsidRPr="00000000" w14:paraId="0000000B">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b w:val="1"/>
          <w:color w:val="333333"/>
          <w:rtl w:val="0"/>
        </w:rPr>
        <w:t xml:space="preserve">Heartbeat AI schaltet Flexibilitäten frei und stabilisiert das Netz in Echtzeit</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Die Zulassung zur Bereitstellung von </w:t>
      </w:r>
      <w:r w:rsidDel="00000000" w:rsidR="00000000" w:rsidRPr="00000000">
        <w:rPr>
          <w:rFonts w:ascii="Barlow" w:cs="Barlow" w:eastAsia="Barlow" w:hAnsi="Barlow"/>
          <w:color w:val="333333"/>
          <w:rtl w:val="0"/>
        </w:rPr>
        <w:t xml:space="preserve">Frequenzregelleistung ermöglicht es 1KOMMA5° nun, eine zentrale Rolle in der Netzstabilisierung in Schweden zu spielen. Barbara Wittenberg, Technologiechefin von 1KOMMA5°, erklärt: „Mit unserem hochautomatisierten und schnell reagierenden Pool aus Batteriespeichern und anderen flexiblen, dezentralen Ressourcen können wir einen doppelten Mehrwert stiften: Einerseits wird das Netz reaktionsfähiger, effizienter und stabiler – ein wichtiger Schritt beim Übergang zu nachhaltiger Energieversorgung und dem vollständigen Ersatz fossiler Kraftwerke. Andererseits bieten wir unseren Kundinnen und Kunden über Heartbeat AI zusätzliche Einnahmen durch die Optimierung.”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Sascha Schnorbach, VP Development Heartbeat bei 1KOMMA5° ergänzt: „Heartbeat AI kann innerhalb von 3</w:t>
      </w:r>
      <w:r w:rsidDel="00000000" w:rsidR="00000000" w:rsidRPr="00000000">
        <w:rPr>
          <w:rFonts w:ascii="Barlow" w:cs="Barlow" w:eastAsia="Barlow" w:hAnsi="Barlow"/>
          <w:color w:val="333333"/>
          <w:rtl w:val="0"/>
        </w:rPr>
        <w:t xml:space="preserve"> Sekunden</w:t>
      </w:r>
      <w:r w:rsidDel="00000000" w:rsidR="00000000" w:rsidRPr="00000000">
        <w:rPr>
          <w:rFonts w:ascii="Barlow" w:cs="Barlow" w:eastAsia="Barlow" w:hAnsi="Barlow"/>
          <w:color w:val="333333"/>
          <w:rtl w:val="0"/>
        </w:rPr>
        <w:t xml:space="preserve"> auf Netzstörungen reagieren und unterstützt so das Netz in Echtzeit. Ähnlich wie der Intraday-Handel kann die Bereitstellung von Frequenzregelleistung in Zukunft einfach als Software-Update aufgespielt werden.”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b w:val="1"/>
          <w:color w:val="333333"/>
          <w:sz w:val="26"/>
          <w:szCs w:val="26"/>
        </w:rPr>
      </w:pPr>
      <w:r w:rsidDel="00000000" w:rsidR="00000000" w:rsidRPr="00000000">
        <w:rPr>
          <w:rFonts w:ascii="Barlow" w:cs="Barlow" w:eastAsia="Barlow" w:hAnsi="Barlow"/>
          <w:color w:val="333333"/>
          <w:rtl w:val="0"/>
        </w:rPr>
        <w:t xml:space="preserve">1KOMMA5° hat weltweit bereits über 300.000 steuerbare Energiesysteme wie Solaranlagen, Stromspeicher, Wärmepumpen und Wallboxen bei Kundinnen und Kunden installiert. Heartbeat AI ist das technologische Kernstück von 1KOMMA5°, das 2022 auf den Markt kam. Die künstliche Intelligenz optimiert derzeit das Zusammenspiel von 40.000 dezentralen Energiesystemen weltweit. </w:t>
      </w:r>
      <w:r w:rsidDel="00000000" w:rsidR="00000000" w:rsidRPr="00000000">
        <w:rPr>
          <w:rtl w:val="0"/>
        </w:rPr>
      </w:r>
    </w:p>
    <w:p w:rsidR="00000000" w:rsidDel="00000000" w:rsidP="00000000" w:rsidRDefault="00000000" w:rsidRPr="00000000" w14:paraId="0000000F">
      <w:pPr>
        <w:spacing w:after="240" w:before="24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10">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Über 1KOMMA5° </w:t>
      </w:r>
      <w:r w:rsidDel="00000000" w:rsidR="00000000" w:rsidRPr="00000000">
        <w:rPr>
          <w:rtl w:val="0"/>
        </w:rPr>
      </w:r>
    </w:p>
    <w:p w:rsidR="00000000" w:rsidDel="00000000" w:rsidP="00000000" w:rsidRDefault="00000000" w:rsidRPr="00000000" w14:paraId="00000012">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betreibt die KI gesteuerte Energie-Plattform „Heartbeat AI„ und schafft so ein virtuelles Kraftwerk, das Photovoltaik, Stromspeicher, Wärmepumpen und Ladesäulen der Kunden mit dem Energiemarkt vernetzt und die Wirtschaftlichkeit der Kundenanlagen deutlich erhöht. Das Unternehmen bietet Privat- und Gewerbekunden zudem einen One-Stop-Shop für den Kauf und die Installation individueller und intelligenter Energie-Systemlösungen. Ziel ist es, als europaweit marktführende Hard- und Softwareplattform 500.000 Gebäude pro Jahr auf klimaneutrale Stromerzeugung, Wärme und Mobilität umzustellen. Derzeit ist</w:t>
      </w:r>
      <w:r w:rsidDel="00000000" w:rsidR="00000000" w:rsidRPr="00000000">
        <w:rPr>
          <w:rFonts w:ascii="Barlow" w:cs="Barlow" w:eastAsia="Barlow" w:hAnsi="Barlow"/>
          <w:color w:val="333333"/>
          <w:sz w:val="18"/>
          <w:szCs w:val="18"/>
          <w:rtl w:val="0"/>
        </w:rPr>
        <w:t xml:space="preserve"> </w:t>
      </w:r>
      <w:r w:rsidDel="00000000" w:rsidR="00000000" w:rsidRPr="00000000">
        <w:rPr>
          <w:rFonts w:ascii="Barlow" w:cs="Barlow" w:eastAsia="Barlow" w:hAnsi="Barlow"/>
          <w:color w:val="333333"/>
          <w:sz w:val="18"/>
          <w:szCs w:val="18"/>
          <w:rtl w:val="0"/>
        </w:rPr>
        <w:t xml:space="preserve">1KOMMA5° mit knapp 80 Standorten und rund 2.400 Mitarbeitern in Deutschland, Schweden, Finnland, Dänemark, Spanien, den Niederlanden und Australien vertreten.</w:t>
      </w:r>
    </w:p>
    <w:p w:rsidR="00000000" w:rsidDel="00000000" w:rsidP="00000000" w:rsidRDefault="00000000" w:rsidRPr="00000000" w14:paraId="00000013">
      <w:pPr>
        <w:spacing w:after="200" w:before="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4">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5">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6">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8">
    <w:pPr>
      <w:ind w:right="-40.8661417322827"/>
      <w:jc w:val="right"/>
      <w:rPr/>
    </w:pPr>
    <w:r w:rsidDel="00000000" w:rsidR="00000000" w:rsidRPr="00000000">
      <w:rPr/>
      <w:drawing>
        <wp:inline distB="114300" distT="114300" distL="114300" distR="114300">
          <wp:extent cx="1657350" cy="971550"/>
          <wp:effectExtent b="0" l="0" r="0" t="0"/>
          <wp:docPr id="3"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